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FF6B57"/>
          <w:spacing w:val="20"/>
          <w:sz w:val="16"/>
          <w:szCs w:val="16"/>
        </w:rPr>
        <w:t xml:space="preserve">PARCERIA ESTRATÉGICA — INFRAESTRUTURA DE RECARGA PARA FROTAS ELETRIFICADAS</w:t>
      </w:r>
    </w:p>
    <w:p>
      <w:pPr>
        <w:spacing w:after="120"/>
      </w:pPr>
      <w:r>
        <w:rPr>
          <w:rFonts w:ascii="Georgia" w:cs="Georgia" w:eastAsia="Georgia" w:hAnsi="Georgia"/>
          <w:b/>
          <w:bCs/>
          <w:color w:val="0B3D3A"/>
          <w:sz w:val="46"/>
          <w:szCs w:val="46"/>
        </w:rPr>
        <w:t xml:space="preserve">Rota BR 101</w:t>
      </w:r>
    </w:p>
    <w:p>
      <w:pPr>
        <w:spacing w:after="200"/>
      </w:pPr>
      <w:r>
        <w:rPr>
          <w:rFonts w:ascii="Calibri" w:cs="Calibri" w:eastAsia="Calibri" w:hAnsi="Calibri"/>
          <w:color w:val="5B6E68"/>
          <w:sz w:val="21"/>
          <w:szCs w:val="21"/>
        </w:rPr>
        <w:t xml:space="preserve">Cobertura real onde a autonomia ainda preocupa. A maior rede de eletropostos rápidos do Brasil coloca os motoristas da sua marca em hubs ancorados em varejo, exatamente no trecho do país onde a recarga rápida ainda é mais escassa: o litoral entre o norte da Bahia e o Espírito Santo.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9"/>
        <w:gridCol w:w="2409"/>
        <w:gridCol w:w="2409"/>
        <w:gridCol w:w="2409"/>
      </w:tblGrid>
      <w:tr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4.658 km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DE LITORAL COBERTO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84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HUBS PLANEJADOS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110 km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ESPAÇAMENTO MÉDIO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150-350 kW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POTÊNCIA POR PLUGUE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O gargalo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O trecho entre o norte da Bahia e o Espírito Santo concentra o maior déficit estrutural de recarga rápida por km rodado do eixo. Enquanto Sul e Sudeste já contam com iniciativas privadas consolidadas, a Bahia e o Nordeste Setentrional seguem com grandes vazios — justamente onde a conectividade pendular entre capitais é mais intensa.</w:t>
      </w:r>
    </w:p>
    <w:tbl>
      <w:tblPr>
        <w:tblW w:type="dxa" w:w="9638"/>
        <w:tblBorders>
          <w:top w:val="single" w:color="D8CFB8" w:sz="2"/>
          <w:left w:val="none" w:color="FFFFFF" w:sz="0"/>
          <w:bottom w:val="single" w:color="D8CFB8" w:sz="2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1500"/>
        <w:gridCol w:w="1846"/>
        <w:gridCol w:w="1846"/>
        <w:gridCol w:w="1846"/>
      </w:tblGrid>
      <w:tr>
        <w:trPr>
          <w:tblHeader/>
        </w:trPr>
        <w:tc>
          <w:tcPr>
            <w:tcW w:type="dxa" w:w="2600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Macrorregião</w:t>
            </w:r>
          </w:p>
        </w:tc>
        <w:tc>
          <w:tcPr>
            <w:tcW w:type="dxa" w:w="1500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Km</w:t>
            </w:r>
          </w:p>
        </w:tc>
        <w:tc>
          <w:tcPr>
            <w:tcW w:type="dxa" w:w="1846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Pontos DC hoje</w:t>
            </w:r>
          </w:p>
        </w:tc>
        <w:tc>
          <w:tcPr>
            <w:tcW w:type="dxa" w:w="1846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Pontos DC 2029</w:t>
            </w:r>
          </w:p>
        </w:tc>
        <w:tc>
          <w:tcPr>
            <w:tcW w:type="dxa" w:w="1846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Potência mín.</w:t>
            </w:r>
          </w:p>
        </w:tc>
      </w:tr>
      <w:tr>
        <w:tc>
          <w:tcPr>
            <w:tcW w:type="dxa" w:w="26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Sul (RS, SC, PR)</w:t>
            </w:r>
          </w:p>
        </w:tc>
        <w:tc>
          <w:tcPr>
            <w:tcW w:type="dxa" w:w="15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860</w:t>
            </w:r>
          </w:p>
        </w:tc>
        <w:tc>
          <w:tcPr>
            <w:tcW w:type="dxa" w:w="1846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32</w:t>
            </w:r>
          </w:p>
        </w:tc>
        <w:tc>
          <w:tcPr>
            <w:tcW w:type="dxa" w:w="1846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95</w:t>
            </w:r>
          </w:p>
        </w:tc>
        <w:tc>
          <w:tcPr>
            <w:tcW w:type="dxa" w:w="1846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150-350 kW</w:t>
            </w:r>
          </w:p>
        </w:tc>
      </w:tr>
      <w:tr>
        <w:tc>
          <w:tcPr>
            <w:tcW w:type="dxa" w:w="26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Sudeste (SP, RJ)</w:t>
            </w:r>
          </w:p>
        </w:tc>
        <w:tc>
          <w:tcPr>
            <w:tcW w:type="dxa" w:w="15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780</w:t>
            </w:r>
          </w:p>
        </w:tc>
        <w:tc>
          <w:tcPr>
            <w:tcW w:type="dxa" w:w="1846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45</w:t>
            </w:r>
          </w:p>
        </w:tc>
        <w:tc>
          <w:tcPr>
            <w:tcW w:type="dxa" w:w="1846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120</w:t>
            </w:r>
          </w:p>
        </w:tc>
        <w:tc>
          <w:tcPr>
            <w:tcW w:type="dxa" w:w="1846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150-350 kW</w:t>
            </w:r>
          </w:p>
        </w:tc>
      </w:tr>
      <w:tr>
        <w:tc>
          <w:tcPr>
            <w:tcW w:type="dxa" w:w="2600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Espírito Santo</w:t>
            </w:r>
          </w:p>
        </w:tc>
        <w:tc>
          <w:tcPr>
            <w:tcW w:type="dxa" w:w="1500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460</w:t>
            </w:r>
          </w:p>
        </w:tc>
        <w:tc>
          <w:tcPr>
            <w:tcW w:type="dxa" w:w="1846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12</w:t>
            </w:r>
          </w:p>
        </w:tc>
        <w:tc>
          <w:tcPr>
            <w:tcW w:type="dxa" w:w="1846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40</w:t>
            </w:r>
          </w:p>
        </w:tc>
        <w:tc>
          <w:tcPr>
            <w:tcW w:type="dxa" w:w="1846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100-150 kW</w:t>
            </w:r>
          </w:p>
        </w:tc>
      </w:tr>
      <w:tr>
        <w:tc>
          <w:tcPr>
            <w:tcW w:type="dxa" w:w="2600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Bahia</w:t>
            </w:r>
          </w:p>
        </w:tc>
        <w:tc>
          <w:tcPr>
            <w:tcW w:type="dxa" w:w="1500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960</w:t>
            </w:r>
          </w:p>
        </w:tc>
        <w:tc>
          <w:tcPr>
            <w:tcW w:type="dxa" w:w="1846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14</w:t>
            </w:r>
          </w:p>
        </w:tc>
        <w:tc>
          <w:tcPr>
            <w:tcW w:type="dxa" w:w="1846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65</w:t>
            </w:r>
          </w:p>
        </w:tc>
        <w:tc>
          <w:tcPr>
            <w:tcW w:type="dxa" w:w="1846"/>
            <w:shd w:fill="FFEDE8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150-250 kW</w:t>
            </w:r>
          </w:p>
        </w:tc>
      </w:tr>
      <w:tr>
        <w:tc>
          <w:tcPr>
            <w:tcW w:type="dxa" w:w="26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Nordeste Setentrional</w:t>
            </w:r>
          </w:p>
        </w:tc>
        <w:tc>
          <w:tcPr>
            <w:tcW w:type="dxa" w:w="15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1.600</w:t>
            </w:r>
          </w:p>
        </w:tc>
        <w:tc>
          <w:tcPr>
            <w:tcW w:type="dxa" w:w="1846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25</w:t>
            </w:r>
          </w:p>
        </w:tc>
        <w:tc>
          <w:tcPr>
            <w:tcW w:type="dxa" w:w="1846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110</w:t>
            </w:r>
          </w:p>
        </w:tc>
        <w:tc>
          <w:tcPr>
            <w:tcW w:type="dxa" w:w="1846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100-200 kW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Por que Rota BR 101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Hubs ancorados em grandes redes de varejo (Carrefour, Cencosud, GPA) — não postos isolados na beira da pista. Isso significa segurança, iluminação, banheiro, alimentação e um fluxo de mais de 13 milhões de clientes por dia nesses parceiros. Potência de 150 a 350 kW, espaçamento médio de 110 km, e um piloto de 10 hubs já em implantação em 2026 — a rede não é uma promessa em slide, é um cronograma em execução.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Duas frentes de parceria</w:t>
      </w:r>
    </w:p>
    <w:p>
      <w:pPr>
        <w:spacing w:after="60" w:before="160"/>
      </w:pPr>
      <w:r>
        <w:rPr>
          <w:rFonts w:ascii="Calibri" w:cs="Calibri" w:eastAsia="Calibri" w:hAnsi="Calibri"/>
          <w:b/>
          <w:bCs/>
          <w:color w:val="1F8F72"/>
          <w:sz w:val="21"/>
          <w:szCs w:val="21"/>
        </w:rPr>
        <w:t xml:space="preserve">1. Nó de interoperabilidade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Certificação da rede via padrão OCPI e integração aos agregadores de roaming já usados pelo mercado brasileiro. Na prática: os hubs Rota BR 101 passam a aparecer automaticamente no aplicativo da sua marca, sem negociação ponto a ponto — baixo atrito, ativação rápida.</w:t>
      </w:r>
    </w:p>
    <w:p>
      <w:pPr>
        <w:spacing w:after="60" w:before="160"/>
      </w:pPr>
      <w:r>
        <w:rPr>
          <w:rFonts w:ascii="Calibri" w:cs="Calibri" w:eastAsia="Calibri" w:hAnsi="Calibri"/>
          <w:b/>
          <w:bCs/>
          <w:color w:val="1F8F72"/>
          <w:sz w:val="21"/>
          <w:szCs w:val="21"/>
        </w:rPr>
        <w:t xml:space="preserve">2. Parceiro Fundador / hub flagship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Para montadoras que querem presença física diferenciada no corredor mais crítico do país: reserva de capacidade prioritária, co-branding físico no hub e patrocínio do painel de mídia LED — sem tirar a rede do desenho não-exclusivo que a mantém atrativa para múltiplas marcas.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Modelo comercial</w:t>
      </w:r>
    </w:p>
    <w:tbl>
      <w:tblPr>
        <w:tblW w:type="dxa" w:w="9638"/>
        <w:tblBorders>
          <w:top w:val="single" w:color="D8CFB8" w:sz="2"/>
          <w:left w:val="none" w:color="FFFFFF" w:sz="0"/>
          <w:bottom w:val="single" w:color="D8CFB8" w:sz="2"/>
          <w:right w:val="none" w:color="FFFFFF" w:sz="0"/>
          <w:insideH w:val="single" w:color="auto" w:sz="4"/>
          <w:insideV w:val="single" w:color="auto" w:sz="4"/>
        </w:tblBorders>
      </w:tblPr>
      <w:tblGrid>
        <w:gridCol w:w="4400"/>
        <w:gridCol w:w="2619"/>
        <w:gridCol w:w="2619"/>
      </w:tblGrid>
      <w:tr>
        <w:trPr>
          <w:tblHeader/>
        </w:trPr>
        <w:tc>
          <w:tcPr>
            <w:tcW w:type="dxa" w:w="4400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Benefício</w:t>
            </w:r>
          </w:p>
        </w:tc>
        <w:tc>
          <w:tcPr>
            <w:tcW w:type="dxa" w:w="2619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Parceiro Fundador</w:t>
            </w:r>
          </w:p>
        </w:tc>
        <w:tc>
          <w:tcPr>
            <w:tcW w:type="dxa" w:w="2619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Parceiro Padrão</w:t>
            </w:r>
          </w:p>
        </w:tc>
      </w:tr>
      <w:tr>
        <w:tc>
          <w:tcPr>
            <w:tcW w:type="dxa" w:w="4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Prioridade no corredor Bahia-Espírito Santo</w:t>
            </w:r>
          </w:p>
        </w:tc>
        <w:tc>
          <w:tcPr>
            <w:tcW w:type="dxa" w:w="2619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Primeira onda</w:t>
            </w:r>
          </w:p>
        </w:tc>
        <w:tc>
          <w:tcPr>
            <w:tcW w:type="dxa" w:w="2619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Conforme disponibilidade</w:t>
            </w:r>
          </w:p>
        </w:tc>
      </w:tr>
      <w:tr>
        <w:tc>
          <w:tcPr>
            <w:tcW w:type="dxa" w:w="44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Co-branding físico no hub</w:t>
            </w:r>
          </w:p>
        </w:tc>
        <w:tc>
          <w:tcPr>
            <w:tcW w:type="dxa" w:w="2619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Sim</w:t>
            </w:r>
          </w:p>
        </w:tc>
        <w:tc>
          <w:tcPr>
            <w:tcW w:type="dxa" w:w="2619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Não</w:t>
            </w:r>
          </w:p>
        </w:tc>
      </w:tr>
      <w:tr>
        <w:tc>
          <w:tcPr>
            <w:tcW w:type="dxa" w:w="4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Patrocínio do painel de mídia LED</w:t>
            </w:r>
          </w:p>
        </w:tc>
        <w:tc>
          <w:tcPr>
            <w:tcW w:type="dxa" w:w="2619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Prioridade</w:t>
            </w:r>
          </w:p>
        </w:tc>
        <w:tc>
          <w:tcPr>
            <w:tcW w:type="dxa" w:w="2619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Disponível à parte</w:t>
            </w:r>
          </w:p>
        </w:tc>
      </w:tr>
      <w:tr>
        <w:tc>
          <w:tcPr>
            <w:tcW w:type="dxa" w:w="44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Nó de interoperabilidade (roaming)</w:t>
            </w:r>
          </w:p>
        </w:tc>
        <w:tc>
          <w:tcPr>
            <w:tcW w:type="dxa" w:w="2619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Incluído</w:t>
            </w:r>
          </w:p>
        </w:tc>
        <w:tc>
          <w:tcPr>
            <w:tcW w:type="dxa" w:w="2619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Incluído</w:t>
            </w:r>
          </w:p>
        </w:tc>
      </w:tr>
      <w:tr>
        <w:tc>
          <w:tcPr>
            <w:tcW w:type="dxa" w:w="4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Reserva de capacidade mínima garantida</w:t>
            </w:r>
          </w:p>
        </w:tc>
        <w:tc>
          <w:tcPr>
            <w:tcW w:type="dxa" w:w="2619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Sim, contratual</w:t>
            </w:r>
          </w:p>
        </w:tc>
        <w:tc>
          <w:tcPr>
            <w:tcW w:type="dxa" w:w="2619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Não</w:t>
            </w:r>
          </w:p>
        </w:tc>
      </w:tr>
      <w:tr>
        <w:tc>
          <w:tcPr>
            <w:tcW w:type="dxa" w:w="44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Exclusividade de marca no hub</w:t>
            </w:r>
          </w:p>
        </w:tc>
        <w:tc>
          <w:tcPr>
            <w:tcW w:type="dxa" w:w="2619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Não — desenho não-exclusivo</w:t>
            </w:r>
          </w:p>
        </w:tc>
        <w:tc>
          <w:tcPr>
            <w:tcW w:type="dxa" w:w="2619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Não — desenho não-exclusivo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Por que agora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O mercado brasileiro de elétricos cresce cerca de 30% ao ano em frota circulante — +125% nas vendas de eletrificados no 1º semestre de 2026 vs. 2025, com 18,3% de participação nas vendas de veículos leves. São 1,5 milhão de veículos elétricos projetados circulando no país até 2029. Cada mês sem cobertura no corredor Bahia-Espírito Santo é ansiedade de autonomia que pesa contra a decisão de compra de um elétrico da sua marca — e a favor de quem já resolveu isso em outro lugar.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Próximos passos</w:t>
      </w:r>
    </w:p>
    <w:p>
      <w:pPr>
        <w:spacing w:after="4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Workshop técnico-comercial para dimensionar a oferta certa para a sua frota e mapear os primeiros hubs do corredor prioritário. contato@rotabr101.com.br</w:t>
      </w:r>
    </w:p>
    <w:sectPr>
      <w:pgSz w:w="11906" w:h="16838" w:orient="portrait"/>
      <w:pgMar w:top="720" w:right="850" w:bottom="7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260" w:hanging="200"/>
      </w:pPr>
      <w:rPr>
        <w:b/>
        <w:bCs/>
        <w:color w:val="1F8F72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2026-07-29T15:27:46.768Z</dcterms:created>
  <dcterms:modified xsi:type="dcterms:W3CDTF">2026-07-29T15:27:46.768Z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