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FF6B57"/>
          <w:spacing w:val="20"/>
          <w:sz w:val="16"/>
          <w:szCs w:val="16"/>
        </w:rPr>
        <w:t xml:space="preserve">OPORTUNIDADE DE INVESTIMENTO — ESTÁGIO INICIAL</w:t>
      </w:r>
    </w:p>
    <w:p>
      <w:pPr>
        <w:spacing w:after="120"/>
      </w:pPr>
      <w:r>
        <w:rPr>
          <w:rFonts w:ascii="Georgia" w:cs="Georgia" w:eastAsia="Georgia" w:hAnsi="Georgia"/>
          <w:b/>
          <w:bCs/>
          <w:color w:val="0B3D3A"/>
          <w:sz w:val="46"/>
          <w:szCs w:val="46"/>
        </w:rPr>
        <w:t xml:space="preserve">Rota BR 101</w:t>
      </w:r>
    </w:p>
    <w:p>
      <w:pPr>
        <w:spacing w:after="200"/>
      </w:pPr>
      <w:r>
        <w:rPr>
          <w:rFonts w:ascii="Calibri" w:cs="Calibri" w:eastAsia="Calibri" w:hAnsi="Calibri"/>
          <w:color w:val="5B6E68"/>
          <w:sz w:val="21"/>
          <w:szCs w:val="21"/>
        </w:rPr>
        <w:t xml:space="preserve">Uma rede, quatro receitas, uma barreira de entrada. A maior rede de eletropostos rápidos do Brasil — 84 hubs ao longo dos 4.658 km da BR-101, integrando energia, varejo e créditos de carbono em um único ativo de infraestrutura crítica.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9"/>
        <w:gridCol w:w="2409"/>
        <w:gridCol w:w="2409"/>
        <w:gridCol w:w="2409"/>
      </w:tblGrid>
      <w:tr>
        <w:tc>
          <w:tcPr>
            <w:tcW w:type="dxa" w:w="24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20"/>
            </w:pPr>
            <w:r>
              <w:rPr>
                <w:rFonts w:ascii="Georgia" w:cs="Georgia" w:eastAsia="Georgia" w:hAnsi="Georgia"/>
                <w:b/>
                <w:bCs/>
                <w:color w:val="0B3D3A"/>
                <w:sz w:val="30"/>
                <w:szCs w:val="30"/>
              </w:rPr>
              <w:t xml:space="preserve">4.658 km</w:t>
            </w:r>
          </w:p>
          <w:p>
            <w:r>
              <w:rPr>
                <w:rFonts w:ascii="Calibri" w:cs="Calibri" w:eastAsia="Calibri" w:hAnsi="Calibri"/>
                <w:color w:val="5B6E68"/>
                <w:spacing w:val="10"/>
                <w:sz w:val="13"/>
                <w:szCs w:val="13"/>
              </w:rPr>
              <w:t xml:space="preserve">DE LITORAL COBERTO</w:t>
            </w:r>
          </w:p>
        </w:tc>
        <w:tc>
          <w:tcPr>
            <w:tcW w:type="dxa" w:w="24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20"/>
            </w:pPr>
            <w:r>
              <w:rPr>
                <w:rFonts w:ascii="Georgia" w:cs="Georgia" w:eastAsia="Georgia" w:hAnsi="Georgia"/>
                <w:b/>
                <w:bCs/>
                <w:color w:val="0B3D3A"/>
                <w:sz w:val="30"/>
                <w:szCs w:val="30"/>
              </w:rPr>
              <w:t xml:space="preserve">84</w:t>
            </w:r>
          </w:p>
          <w:p>
            <w:r>
              <w:rPr>
                <w:rFonts w:ascii="Calibri" w:cs="Calibri" w:eastAsia="Calibri" w:hAnsi="Calibri"/>
                <w:color w:val="5B6E68"/>
                <w:spacing w:val="10"/>
                <w:sz w:val="13"/>
                <w:szCs w:val="13"/>
              </w:rPr>
              <w:t xml:space="preserve">HUBS PLANEJADOS</w:t>
            </w:r>
          </w:p>
        </w:tc>
        <w:tc>
          <w:tcPr>
            <w:tcW w:type="dxa" w:w="24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20"/>
            </w:pPr>
            <w:r>
              <w:rPr>
                <w:rFonts w:ascii="Georgia" w:cs="Georgia" w:eastAsia="Georgia" w:hAnsi="Georgia"/>
                <w:b/>
                <w:bCs/>
                <w:color w:val="0B3D3A"/>
                <w:sz w:val="30"/>
                <w:szCs w:val="30"/>
              </w:rPr>
              <w:t xml:space="preserve">1.176</w:t>
            </w:r>
          </w:p>
          <w:p>
            <w:r>
              <w:rPr>
                <w:rFonts w:ascii="Calibri" w:cs="Calibri" w:eastAsia="Calibri" w:hAnsi="Calibri"/>
                <w:color w:val="5B6E68"/>
                <w:spacing w:val="10"/>
                <w:sz w:val="13"/>
                <w:szCs w:val="13"/>
              </w:rPr>
              <w:t xml:space="preserve">PLUGUES DC ULTRARRÁPIDOS</w:t>
            </w:r>
          </w:p>
        </w:tc>
        <w:tc>
          <w:tcPr>
            <w:tcW w:type="dxa" w:w="24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20"/>
            </w:pPr>
            <w:r>
              <w:rPr>
                <w:rFonts w:ascii="Georgia" w:cs="Georgia" w:eastAsia="Georgia" w:hAnsi="Georgia"/>
                <w:b/>
                <w:bCs/>
                <w:color w:val="0B3D3A"/>
                <w:sz w:val="30"/>
                <w:szCs w:val="30"/>
              </w:rPr>
              <w:t xml:space="preserve">12</w:t>
            </w:r>
          </w:p>
          <w:p>
            <w:r>
              <w:rPr>
                <w:rFonts w:ascii="Calibri" w:cs="Calibri" w:eastAsia="Calibri" w:hAnsi="Calibri"/>
                <w:color w:val="5B6E68"/>
                <w:spacing w:val="10"/>
                <w:sz w:val="13"/>
                <w:szCs w:val="13"/>
              </w:rPr>
              <w:t xml:space="preserve">ESTADOS CONECTADOS</w:t>
            </w:r>
          </w:p>
        </w:tc>
      </w:tr>
    </w:tbl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A oportunidade</w:t>
      </w:r>
    </w:p>
    <w:p>
      <w:pPr>
        <w:spacing w:after="12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O mercado brasileiro de veículos elétricos está em ponto de inflexão: +125% no crescimento de vendas de eletrificados no 1º semestre de 2026 vs. 2025, com 18,3% de participação nas vendas de veículos leves — recorde histórico. Já são 25.429 eletropostos públicos no país, crescendo 21% em apenas 3 meses, mas a cobertura de recarga rápida ainda é desigual ao longo do maior corredor litorâneo do Brasil — com um vazio estrutural concentrado entre o norte da Bahia e o Espírito Santo.</w:t>
      </w:r>
    </w:p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O ativo</w:t>
      </w:r>
    </w:p>
    <w:p>
      <w:pPr>
        <w:spacing w:after="12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Hubs completos, não eletropostos isolados: recarga ultrarrápida (150 a 350 kW), conveniência e parceria direta com grandes redes de varejo. Configuração técnica de 6 a 8 carregadores DC duplos por hub, espaçados a cada 110 km em média, dentro de redes que somam mais de 13 milhões de clientes por dia (Carrefour, Cencosud, GPA). Os 20-40 minutos de recarga são a janela natural de conversão em vendas de conveniência.</w:t>
      </w:r>
    </w:p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Diversificação de receita</w:t>
      </w:r>
    </w:p>
    <w:tbl>
      <w:tblPr>
        <w:tblW w:type="dxa" w:w="9638"/>
        <w:tblBorders>
          <w:top w:val="single" w:color="D8CFB8" w:sz="2"/>
          <w:left w:val="none" w:color="FFFFFF" w:sz="0"/>
          <w:bottom w:val="single" w:color="D8CFB8" w:sz="2"/>
          <w:right w:val="none" w:color="FFFFFF" w:sz="0"/>
          <w:insideH w:val="single" w:color="auto" w:sz="4"/>
          <w:insideV w:val="single" w:color="auto" w:sz="4"/>
        </w:tblBorders>
      </w:tblPr>
      <w:tblGrid>
        <w:gridCol w:w="2409"/>
        <w:gridCol w:w="7229"/>
      </w:tblGrid>
      <w:tr>
        <w:trPr>
          <w:tblHeader/>
        </w:trPr>
        <w:tc>
          <w:tcPr>
            <w:tcW w:type="dxa" w:w="2409"/>
            <w:shd w:fill="0B3D3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Fonte</w:t>
            </w:r>
          </w:p>
        </w:tc>
        <w:tc>
          <w:tcPr>
            <w:tcW w:type="dxa" w:w="7229"/>
            <w:shd w:fill="0B3D3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Como funciona</w:t>
            </w:r>
          </w:p>
        </w:tc>
      </w:tr>
      <w:tr>
        <w:tc>
          <w:tcPr>
            <w:tcW w:type="dxa" w:w="240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8"/>
                <w:szCs w:val="18"/>
              </w:rPr>
              <w:t xml:space="preserve">Energia</w:t>
            </w:r>
          </w:p>
        </w:tc>
        <w:tc>
          <w:tcPr>
            <w:tcW w:type="dxa" w:w="722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Venda de kWh em recarga DC rápida — R$ 2,50 a R$ 3,50/kWh, margem bruta de até R$ 2,80/kWh sobre o custo de aquisição.</w:t>
            </w:r>
          </w:p>
        </w:tc>
      </w:tr>
      <w:tr>
        <w:tc>
          <w:tcPr>
            <w:tcW w:type="dxa" w:w="2409"/>
            <w:shd w:fill="F7F3E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8"/>
                <w:szCs w:val="18"/>
              </w:rPr>
              <w:t xml:space="preserve">Conveniência</w:t>
            </w:r>
          </w:p>
        </w:tc>
        <w:tc>
          <w:tcPr>
            <w:tcW w:type="dxa" w:w="7229"/>
            <w:shd w:fill="F7F3E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Cross-sell durante os 20-40 min de recarga, em parceria direta com Carrefour, Cencosud e GPA.</w:t>
            </w:r>
          </w:p>
        </w:tc>
      </w:tr>
      <w:tr>
        <w:tc>
          <w:tcPr>
            <w:tcW w:type="dxa" w:w="240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8"/>
                <w:szCs w:val="18"/>
              </w:rPr>
              <w:t xml:space="preserve">Mídia (LED)</w:t>
            </w:r>
          </w:p>
        </w:tc>
        <w:tc>
          <w:tcPr>
            <w:tcW w:type="dxa" w:w="722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Receita publicitária em telas digitais nos hubs — até R$ 100 mil/mês na rede madura.</w:t>
            </w:r>
          </w:p>
        </w:tc>
      </w:tr>
      <w:tr>
        <w:tc>
          <w:tcPr>
            <w:tcW w:type="dxa" w:w="2409"/>
            <w:shd w:fill="F7F3E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8"/>
                <w:szCs w:val="18"/>
              </w:rPr>
              <w:t xml:space="preserve">Carbono &amp; I-REC</w:t>
            </w:r>
          </w:p>
        </w:tc>
        <w:tc>
          <w:tcPr>
            <w:tcW w:type="dxa" w:w="7229"/>
            <w:shd w:fill="F7F3E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Monetização de ativos ambientais em dólar — US$ 369 mil a US$ 627 mil/ano na rede madura.</w:t>
            </w:r>
          </w:p>
        </w:tc>
      </w:tr>
    </w:tbl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Destaques financeiros</w:t>
      </w:r>
    </w:p>
    <w:p>
      <w:pPr>
        <w:spacing w:after="12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CAPEX de R$ 1,18 milhão por hub (cenário base, equipamento DC ultrarrápido), com payback entre 9 e 18 meses conforme o cenário de demanda. Premissas revisadas em julho de 2026.</w:t>
      </w:r>
    </w:p>
    <w:tbl>
      <w:tblPr>
        <w:tblW w:type="dxa" w:w="9638"/>
        <w:tblBorders>
          <w:top w:val="single" w:color="D8CFB8" w:sz="2"/>
          <w:left w:val="none" w:color="FFFFFF" w:sz="0"/>
          <w:bottom w:val="single" w:color="D8CFB8" w:sz="2"/>
          <w:right w:val="none" w:color="FFFFFF" w:sz="0"/>
          <w:insideH w:val="single" w:color="auto" w:sz="4"/>
          <w:insideV w:val="single" w:color="auto" w:sz="4"/>
        </w:tblBorders>
      </w:tblPr>
      <w:tblGrid>
        <w:gridCol w:w="2409"/>
        <w:gridCol w:w="2409"/>
        <w:gridCol w:w="2409"/>
        <w:gridCol w:w="2411"/>
      </w:tblGrid>
      <w:tr>
        <w:trPr>
          <w:tblHeader/>
        </w:trPr>
        <w:tc>
          <w:tcPr>
            <w:tcW w:type="dxa" w:w="2409"/>
            <w:shd w:fill="0B3D3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Cenário</w:t>
            </w:r>
          </w:p>
        </w:tc>
        <w:tc>
          <w:tcPr>
            <w:tcW w:type="dxa" w:w="2409"/>
            <w:shd w:fill="0B3D3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Receita anual da rede</w:t>
            </w:r>
          </w:p>
        </w:tc>
        <w:tc>
          <w:tcPr>
            <w:tcW w:type="dxa" w:w="2409"/>
            <w:shd w:fill="0B3D3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EBITDA anual da rede</w:t>
            </w:r>
          </w:p>
        </w:tc>
        <w:tc>
          <w:tcPr>
            <w:tcW w:type="dxa" w:w="2411"/>
            <w:shd w:fill="0B3D3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Payback por hub</w:t>
            </w:r>
          </w:p>
        </w:tc>
      </w:tr>
      <w:tr>
        <w:tc>
          <w:tcPr>
            <w:tcW w:type="dxa" w:w="240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8"/>
                <w:szCs w:val="18"/>
              </w:rPr>
              <w:t xml:space="preserve">Pessimista</w:t>
            </w:r>
          </w:p>
        </w:tc>
        <w:tc>
          <w:tcPr>
            <w:tcW w:type="dxa" w:w="240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R$ 221,4 milhões</w:t>
            </w:r>
          </w:p>
        </w:tc>
        <w:tc>
          <w:tcPr>
            <w:tcW w:type="dxa" w:w="240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R$ 197,2 milhões</w:t>
            </w:r>
          </w:p>
        </w:tc>
        <w:tc>
          <w:tcPr>
            <w:tcW w:type="dxa" w:w="2411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~18 meses</w:t>
            </w:r>
          </w:p>
        </w:tc>
      </w:tr>
      <w:tr>
        <w:tc>
          <w:tcPr>
            <w:tcW w:type="dxa" w:w="2409"/>
            <w:shd w:fill="F7F3E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8"/>
                <w:szCs w:val="18"/>
              </w:rPr>
              <w:t xml:space="preserve">Médio</w:t>
            </w:r>
          </w:p>
        </w:tc>
        <w:tc>
          <w:tcPr>
            <w:tcW w:type="dxa" w:w="2409"/>
            <w:shd w:fill="F7F3E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R$ 334,6 milhões</w:t>
            </w:r>
          </w:p>
        </w:tc>
        <w:tc>
          <w:tcPr>
            <w:tcW w:type="dxa" w:w="2409"/>
            <w:shd w:fill="F7F3E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R$ 310,4 milhões</w:t>
            </w:r>
          </w:p>
        </w:tc>
        <w:tc>
          <w:tcPr>
            <w:tcW w:type="dxa" w:w="2411"/>
            <w:shd w:fill="F7F3E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~13 meses</w:t>
            </w:r>
          </w:p>
        </w:tc>
      </w:tr>
      <w:tr>
        <w:tc>
          <w:tcPr>
            <w:tcW w:type="dxa" w:w="240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8"/>
                <w:szCs w:val="18"/>
              </w:rPr>
              <w:t xml:space="preserve">Otimista</w:t>
            </w:r>
          </w:p>
        </w:tc>
        <w:tc>
          <w:tcPr>
            <w:tcW w:type="dxa" w:w="240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R$ 496,5 milhões</w:t>
            </w:r>
          </w:p>
        </w:tc>
        <w:tc>
          <w:tcPr>
            <w:tcW w:type="dxa" w:w="240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R$ 472,3 milhões</w:t>
            </w:r>
          </w:p>
        </w:tc>
        <w:tc>
          <w:tcPr>
            <w:tcW w:type="dxa" w:w="2411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~9 meses</w:t>
            </w:r>
          </w:p>
        </w:tc>
      </w:tr>
    </w:tbl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Mitigação de risco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Piloto validado antes da escala: 10 hubs em 2026, com expansão condicionada à demanda real observada — não à projeção.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Diversificação geográfica: exposição distribuída por 12 estados, sem concentração em uma única economia regional.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Diversificação de receita: 4 fontes reduzem a dependência do preço de energia isolado.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Resiliência de infraestrutura: sistemas de storage (baterias) nas praças onde a rede elétrica local tem limitação de média tensão.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Continuidade operacional: frota de resgate móvel para atendimento emergencial em pontos de sombra da rodovia, protegendo a experiência do usuário.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Originação de baixo atrito: hubs instalados dentro de redes de varejo já operantes, reduzindo risco de terreno e licenciamento.</w:t>
      </w:r>
    </w:p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Valuation estratégico da marca</w:t>
      </w:r>
    </w:p>
    <w:p>
      <w:pPr>
        <w:spacing w:after="12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Projeção de R$ 350 a R$ 500 milhões para 2029, sustentada pelo controle de mais de 65% da capacidade de recarga DC do eixo BR-101 e por aproximadamente 25.000 m² de área de varejo/conveniência associada — a maior barreira de entrada para mobilidade elétrica de longa distância no litoral brasileiro.</w:t>
      </w:r>
    </w:p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Financiamento verde</w:t>
      </w:r>
    </w:p>
    <w:p>
      <w:pPr>
        <w:spacing w:after="12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Créditos de carbono e certificados I-REC não são apenas receita adicional: um fluxo auditado de carbono valida o projeto junto a fundos internacionais e abre caminho para debêntures verdes com taxas de juros reduzidas, além de criar proteção cambial natural via liquidação em dólar.</w:t>
      </w:r>
    </w:p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Cronograma de expansão</w:t>
      </w:r>
    </w:p>
    <w:tbl>
      <w:tblPr>
        <w:tblW w:type="dxa" w:w="9638"/>
        <w:tblBorders>
          <w:top w:val="single" w:color="D8CFB8" w:sz="2"/>
          <w:left w:val="none" w:color="FFFFFF" w:sz="0"/>
          <w:bottom w:val="single" w:color="D8CFB8" w:sz="2"/>
          <w:right w:val="none" w:color="FFFFFF" w:sz="0"/>
          <w:insideH w:val="single" w:color="auto" w:sz="4"/>
          <w:insideV w:val="single" w:color="auto" w:sz="4"/>
        </w:tblBorders>
      </w:tblPr>
      <w:tblGrid>
        <w:gridCol w:w="2409"/>
        <w:gridCol w:w="2409"/>
        <w:gridCol w:w="4820"/>
      </w:tblGrid>
      <w:tr>
        <w:trPr>
          <w:tblHeader/>
        </w:trPr>
        <w:tc>
          <w:tcPr>
            <w:tcW w:type="dxa" w:w="2409"/>
            <w:shd w:fill="0B3D3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Ano</w:t>
            </w:r>
          </w:p>
        </w:tc>
        <w:tc>
          <w:tcPr>
            <w:tcW w:type="dxa" w:w="2409"/>
            <w:shd w:fill="0B3D3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Adição</w:t>
            </w:r>
          </w:p>
        </w:tc>
        <w:tc>
          <w:tcPr>
            <w:tcW w:type="dxa" w:w="4820"/>
            <w:shd w:fill="0B3D3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Marco</w:t>
            </w:r>
          </w:p>
        </w:tc>
      </w:tr>
      <w:tr>
        <w:tc>
          <w:tcPr>
            <w:tcW w:type="dxa" w:w="240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8"/>
                <w:szCs w:val="18"/>
              </w:rPr>
              <w:t xml:space="preserve">2026</w:t>
            </w:r>
          </w:p>
        </w:tc>
        <w:tc>
          <w:tcPr>
            <w:tcW w:type="dxa" w:w="240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10 hubs</w:t>
            </w:r>
          </w:p>
        </w:tc>
        <w:tc>
          <w:tcPr>
            <w:tcW w:type="dxa" w:w="48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Piloto — 10 municípios prioritários ao longo da rota</w:t>
            </w:r>
          </w:p>
        </w:tc>
      </w:tr>
      <w:tr>
        <w:tc>
          <w:tcPr>
            <w:tcW w:type="dxa" w:w="2409"/>
            <w:shd w:fill="F7F3E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8"/>
                <w:szCs w:val="18"/>
              </w:rPr>
              <w:t xml:space="preserve">2027</w:t>
            </w:r>
          </w:p>
        </w:tc>
        <w:tc>
          <w:tcPr>
            <w:tcW w:type="dxa" w:w="2409"/>
            <w:shd w:fill="F7F3E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+20 hubs</w:t>
            </w:r>
          </w:p>
        </w:tc>
        <w:tc>
          <w:tcPr>
            <w:tcW w:type="dxa" w:w="4820"/>
            <w:shd w:fill="F7F3E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Expansão nos eixos Sul/Sudeste e Nordeste</w:t>
            </w:r>
          </w:p>
        </w:tc>
      </w:tr>
      <w:tr>
        <w:tc>
          <w:tcPr>
            <w:tcW w:type="dxa" w:w="240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8"/>
                <w:szCs w:val="18"/>
              </w:rPr>
              <w:t xml:space="preserve">2028</w:t>
            </w:r>
          </w:p>
        </w:tc>
        <w:tc>
          <w:tcPr>
            <w:tcW w:type="dxa" w:w="240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+30 hubs</w:t>
            </w:r>
          </w:p>
        </w:tc>
        <w:tc>
          <w:tcPr>
            <w:tcW w:type="dxa" w:w="48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Adensamento dos trechos críticos da Bahia e Espírito Santo</w:t>
            </w:r>
          </w:p>
        </w:tc>
      </w:tr>
      <w:tr>
        <w:tc>
          <w:tcPr>
            <w:tcW w:type="dxa" w:w="2409"/>
            <w:shd w:fill="F7F3E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8"/>
                <w:szCs w:val="18"/>
              </w:rPr>
              <w:t xml:space="preserve">2029</w:t>
            </w:r>
          </w:p>
        </w:tc>
        <w:tc>
          <w:tcPr>
            <w:tcW w:type="dxa" w:w="2409"/>
            <w:shd w:fill="F7F3E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+24 hubs</w:t>
            </w:r>
          </w:p>
        </w:tc>
        <w:tc>
          <w:tcPr>
            <w:tcW w:type="dxa" w:w="4820"/>
            <w:shd w:fill="F7F3E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8"/>
                <w:szCs w:val="18"/>
              </w:rPr>
              <w:t xml:space="preserve">Rede completa — 84 hubs e 1.176 plugues em operação</w:t>
            </w:r>
          </w:p>
        </w:tc>
      </w:tr>
    </w:tbl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Próximos passos</w:t>
      </w:r>
    </w:p>
    <w:p>
      <w:pPr>
        <w:spacing w:after="4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Masterplan completo, modelo financeiro detalhado por cenário e data room disponíveis mediante contato. contato@rotabr101.com.br</w:t>
      </w:r>
    </w:p>
    <w:sectPr>
      <w:pgSz w:w="11906" w:h="16838" w:orient="portrait"/>
      <w:pgMar w:top="720" w:right="850" w:bottom="72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260" w:hanging="200"/>
      </w:pPr>
      <w:rPr>
        <w:b/>
        <w:bCs/>
        <w:color w:val="1F8F7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2026-07-29T15:26:39.717Z</dcterms:created>
  <dcterms:modified xsi:type="dcterms:W3CDTF">2026-07-29T15:26:39.717Z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