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FF6B57"/>
          <w:spacing w:val="20"/>
          <w:sz w:val="16"/>
          <w:szCs w:val="16"/>
        </w:rPr>
        <w:t xml:space="preserve">CONCESSÃO COMERCIAL &amp; MÍDIA DIGITAL</w:t>
      </w:r>
    </w:p>
    <w:p>
      <w:pPr>
        <w:spacing w:after="120"/>
      </w:pPr>
      <w:r>
        <w:rPr>
          <w:rFonts w:ascii="Georgia" w:cs="Georgia" w:eastAsia="Georgia" w:hAnsi="Georgia"/>
          <w:b/>
          <w:bCs/>
          <w:color w:val="0B3D3A"/>
          <w:sz w:val="46"/>
          <w:szCs w:val="46"/>
        </w:rPr>
        <w:t xml:space="preserve">Rota BR 101</w:t>
      </w:r>
    </w:p>
    <w:p>
      <w:pPr>
        <w:spacing w:after="200"/>
      </w:pPr>
      <w:r>
        <w:rPr>
          <w:rFonts w:ascii="Calibri" w:cs="Calibri" w:eastAsia="Calibri" w:hAnsi="Calibri"/>
          <w:color w:val="5B6E68"/>
          <w:sz w:val="21"/>
          <w:szCs w:val="21"/>
        </w:rPr>
        <w:t xml:space="preserve">O shopping da estrada elétrica. 84 hubs, 25.000 m² de área comercial e um público que já chegou parado — carro carregando, sem pressa pra ir embora. Aqui não se compra passagem, compra-se atenção parada.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9"/>
        <w:gridCol w:w="2409"/>
        <w:gridCol w:w="2409"/>
        <w:gridCol w:w="2409"/>
      </w:tblGrid>
      <w:tr>
        <w:tc>
          <w:tcPr>
            <w:tcW w:type="dxa" w:w="24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20"/>
            </w:pPr>
            <w:r>
              <w:rPr>
                <w:rFonts w:ascii="Georgia" w:cs="Georgia" w:eastAsia="Georgia" w:hAnsi="Georgia"/>
                <w:b/>
                <w:bCs/>
                <w:color w:val="0B3D3A"/>
                <w:sz w:val="30"/>
                <w:szCs w:val="30"/>
              </w:rPr>
              <w:t xml:space="preserve">25.000 m²</w:t>
            </w:r>
          </w:p>
          <w:p>
            <w:r>
              <w:rPr>
                <w:rFonts w:ascii="Calibri" w:cs="Calibri" w:eastAsia="Calibri" w:hAnsi="Calibri"/>
                <w:color w:val="5B6E68"/>
                <w:spacing w:val="10"/>
                <w:sz w:val="13"/>
                <w:szCs w:val="13"/>
              </w:rPr>
              <w:t xml:space="preserve">ÁREA COMERCIAL (REDE MADURA)</w:t>
            </w:r>
          </w:p>
        </w:tc>
        <w:tc>
          <w:tcPr>
            <w:tcW w:type="dxa" w:w="24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20"/>
            </w:pPr>
            <w:r>
              <w:rPr>
                <w:rFonts w:ascii="Georgia" w:cs="Georgia" w:eastAsia="Georgia" w:hAnsi="Georgia"/>
                <w:b/>
                <w:bCs/>
                <w:color w:val="0B3D3A"/>
                <w:sz w:val="30"/>
                <w:szCs w:val="30"/>
              </w:rPr>
              <w:t xml:space="preserve">84</w:t>
            </w:r>
          </w:p>
          <w:p>
            <w:r>
              <w:rPr>
                <w:rFonts w:ascii="Calibri" w:cs="Calibri" w:eastAsia="Calibri" w:hAnsi="Calibri"/>
                <w:color w:val="5B6E68"/>
                <w:spacing w:val="10"/>
                <w:sz w:val="13"/>
                <w:szCs w:val="13"/>
              </w:rPr>
              <w:t xml:space="preserve">HUBS PLANEJADOS</w:t>
            </w:r>
          </w:p>
        </w:tc>
        <w:tc>
          <w:tcPr>
            <w:tcW w:type="dxa" w:w="24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20"/>
            </w:pPr>
            <w:r>
              <w:rPr>
                <w:rFonts w:ascii="Georgia" w:cs="Georgia" w:eastAsia="Georgia" w:hAnsi="Georgia"/>
                <w:b/>
                <w:bCs/>
                <w:color w:val="0B3D3A"/>
                <w:sz w:val="30"/>
                <w:szCs w:val="30"/>
              </w:rPr>
              <w:t xml:space="preserve">20-40 min</w:t>
            </w:r>
          </w:p>
          <w:p>
            <w:r>
              <w:rPr>
                <w:rFonts w:ascii="Calibri" w:cs="Calibri" w:eastAsia="Calibri" w:hAnsi="Calibri"/>
                <w:color w:val="5B6E68"/>
                <w:spacing w:val="10"/>
                <w:sz w:val="13"/>
                <w:szCs w:val="13"/>
              </w:rPr>
              <w:t xml:space="preserve">PERMANÊNCIA MÉDIA POR VEÍCULO</w:t>
            </w:r>
          </w:p>
        </w:tc>
        <w:tc>
          <w:tcPr>
            <w:tcW w:type="dxa" w:w="240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20"/>
            </w:pPr>
            <w:r>
              <w:rPr>
                <w:rFonts w:ascii="Georgia" w:cs="Georgia" w:eastAsia="Georgia" w:hAnsi="Georgia"/>
                <w:b/>
                <w:bCs/>
                <w:color w:val="0B3D3A"/>
                <w:sz w:val="30"/>
                <w:szCs w:val="30"/>
              </w:rPr>
              <w:t xml:space="preserve">13 mi+</w:t>
            </w:r>
          </w:p>
          <w:p>
            <w:r>
              <w:rPr>
                <w:rFonts w:ascii="Calibri" w:cs="Calibri" w:eastAsia="Calibri" w:hAnsi="Calibri"/>
                <w:color w:val="5B6E68"/>
                <w:spacing w:val="10"/>
                <w:sz w:val="13"/>
                <w:szCs w:val="13"/>
              </w:rPr>
              <w:t xml:space="preserve">CLIENTES/DIA NAS REDES-ÂNCORA</w:t>
            </w:r>
          </w:p>
        </w:tc>
      </w:tr>
    </w:tbl>
    <w:p>
      <w:pPr>
        <w:pBdr>
          <w:bottom w:val="single" w:color="FF6B57" w:sz="6" w:space="4"/>
        </w:pBdr>
        <w:spacing w:after="100" w:before="260"/>
      </w:pPr>
      <w:r>
        <w:rPr>
          <w:rFonts w:ascii="Georgia" w:cs="Georgia" w:eastAsia="Georgia" w:hAnsi="Georgia"/>
          <w:b/>
          <w:bCs/>
          <w:color w:val="0B3D3A"/>
          <w:sz w:val="25"/>
          <w:szCs w:val="25"/>
        </w:rPr>
        <w:t xml:space="preserve">O modelo shopping</w:t>
      </w:r>
    </w:p>
    <w:p>
      <w:pPr>
        <w:spacing w:after="12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Carrefour, Cencosud e GPA são as âncoras de cada hub — como as lojas de departamento de um shopping center. Ao redor delas, sobra espaço comercial para operadores satélite: cafeteria, fast-food, farmácia, conveniência expressa. A diferença para um shopping de bairro é o fluxo: o visitante não está de passagem, ele já parou — o carro está carregando, e ele tem de 20 a 40 minutos com nada melhor pra fazer do que circular pela loja.</w:t>
      </w:r>
    </w:p>
    <w:p>
      <w:pPr>
        <w:pBdr>
          <w:bottom w:val="single" w:color="FF6B57" w:sz="6" w:space="4"/>
        </w:pBdr>
        <w:spacing w:after="100" w:before="260"/>
      </w:pPr>
      <w:r>
        <w:rPr>
          <w:rFonts w:ascii="Georgia" w:cs="Georgia" w:eastAsia="Georgia" w:hAnsi="Georgia"/>
          <w:b/>
          <w:bCs/>
          <w:color w:val="0B3D3A"/>
          <w:sz w:val="25"/>
          <w:szCs w:val="25"/>
        </w:rPr>
        <w:t xml:space="preserve">Duas frentes comerciais</w:t>
      </w:r>
    </w:p>
    <w:tbl>
      <w:tblPr>
        <w:tblW w:type="dxa" w:w="9638"/>
        <w:tblBorders>
          <w:top w:val="single" w:color="D8CFB8" w:sz="2"/>
          <w:left w:val="none" w:color="FFFFFF" w:sz="0"/>
          <w:bottom w:val="single" w:color="D8CFB8" w:sz="2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3619"/>
        <w:gridCol w:w="3619"/>
      </w:tblGrid>
      <w:tr>
        <w:trPr>
          <w:tblHeader/>
        </w:trPr>
        <w:tc>
          <w:tcPr>
            <w:tcW w:type="dxa" w:w="2400"/>
            <w:shd w:fill="0B3D3A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Frente</w:t>
            </w:r>
          </w:p>
        </w:tc>
        <w:tc>
          <w:tcPr>
            <w:tcW w:type="dxa" w:w="3619"/>
            <w:shd w:fill="0B3D3A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O que é</w:t>
            </w:r>
          </w:p>
        </w:tc>
        <w:tc>
          <w:tcPr>
            <w:tcW w:type="dxa" w:w="3619"/>
            <w:shd w:fill="0B3D3A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Números</w:t>
            </w:r>
          </w:p>
        </w:tc>
      </w:tr>
      <w:tr>
        <w:tc>
          <w:tcPr>
            <w:tcW w:type="dxa" w:w="2400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7"/>
                <w:szCs w:val="17"/>
              </w:rPr>
              <w:t xml:space="preserve">Concessão de varejo</w:t>
            </w:r>
          </w:p>
        </w:tc>
        <w:tc>
          <w:tcPr>
            <w:tcW w:type="dxa" w:w="3619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Espaços satélite dentro de cada hub — cafeteria, fast-food, farmácia, conveniência expressa. Contrato fixo ou % do faturamento.</w:t>
            </w:r>
          </w:p>
        </w:tc>
        <w:tc>
          <w:tcPr>
            <w:tcW w:type="dxa" w:w="3619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R$ 15 a 20 mil/mês por hub · 25.000 m² na rede madura</w:t>
            </w:r>
          </w:p>
        </w:tc>
      </w:tr>
      <w:tr>
        <w:tc>
          <w:tcPr>
            <w:tcW w:type="dxa" w:w="2400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7"/>
                <w:szCs w:val="17"/>
              </w:rPr>
              <w:t xml:space="preserve">Mídia digital (DOOH)</w:t>
            </w:r>
          </w:p>
        </w:tc>
        <w:tc>
          <w:tcPr>
            <w:tcW w:type="dxa" w:w="3619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Painel de LED de 1,2 x 5 m por hub, vendido em pacote local, por corredor ou nacional.</w:t>
            </w:r>
          </w:p>
        </w:tc>
        <w:tc>
          <w:tcPr>
            <w:tcW w:type="dxa" w:w="3619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R$ 25 a 100 mil/mês por hub, conforme o fluxo</w:t>
            </w:r>
          </w:p>
        </w:tc>
      </w:tr>
    </w:tbl>
    <w:p>
      <w:pPr>
        <w:pBdr>
          <w:bottom w:val="single" w:color="FF6B57" w:sz="6" w:space="4"/>
        </w:pBdr>
        <w:spacing w:after="100" w:before="260"/>
      </w:pPr>
      <w:r>
        <w:rPr>
          <w:rFonts w:ascii="Georgia" w:cs="Georgia" w:eastAsia="Georgia" w:hAnsi="Georgia"/>
          <w:b/>
          <w:bCs/>
          <w:color w:val="0B3D3A"/>
          <w:sz w:val="25"/>
          <w:szCs w:val="25"/>
        </w:rPr>
        <w:t xml:space="preserve">Por que funciona como mídia</w:t>
      </w:r>
    </w:p>
    <w:p>
      <w:pPr>
        <w:spacing w:after="12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Outdoor de rodovia tradicional vende segundos de relance a 100 km/h. O painel de um hub Rota BR 101 vende minutos de permanência real: o veículo está carregando, o motorista está ali, parado, dentro de uma rede de varejo que ele já escolheu visitar.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Outdoor de rodovia: cerca de 3 a 5 segundos de exposição por veículo, em movimento.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Painel Rota BR 101: 20 a 40 minutos de exposição por veículo, parado no hub.</w:t>
      </w:r>
    </w:p>
    <w:p>
      <w:pPr>
        <w:pBdr>
          <w:bottom w:val="single" w:color="FF6B57" w:sz="6" w:space="4"/>
        </w:pBdr>
        <w:spacing w:after="100" w:before="260"/>
      </w:pPr>
      <w:r>
        <w:rPr>
          <w:rFonts w:ascii="Georgia" w:cs="Georgia" w:eastAsia="Georgia" w:hAnsi="Georgia"/>
          <w:b/>
          <w:bCs/>
          <w:color w:val="0B3D3A"/>
          <w:sz w:val="25"/>
          <w:szCs w:val="25"/>
        </w:rPr>
        <w:t xml:space="preserve">Modelo comercial</w:t>
      </w:r>
    </w:p>
    <w:tbl>
      <w:tblPr>
        <w:tblW w:type="dxa" w:w="9638"/>
        <w:tblBorders>
          <w:top w:val="single" w:color="D8CFB8" w:sz="2"/>
          <w:left w:val="none" w:color="FFFFFF" w:sz="0"/>
          <w:bottom w:val="single" w:color="D8CFB8" w:sz="2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2400"/>
        <w:gridCol w:w="2400"/>
        <w:gridCol w:w="2438"/>
      </w:tblGrid>
      <w:tr>
        <w:trPr>
          <w:tblHeader/>
        </w:trPr>
        <w:tc>
          <w:tcPr>
            <w:tcW w:type="dxa" w:w="2400"/>
            <w:shd w:fill="0B3D3A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Tipo de parceria</w:t>
            </w:r>
          </w:p>
        </w:tc>
        <w:tc>
          <w:tcPr>
            <w:tcW w:type="dxa" w:w="2400"/>
            <w:shd w:fill="0B3D3A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Formato</w:t>
            </w:r>
          </w:p>
        </w:tc>
        <w:tc>
          <w:tcPr>
            <w:tcW w:type="dxa" w:w="2400"/>
            <w:shd w:fill="0B3D3A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Investimento</w:t>
            </w:r>
          </w:p>
        </w:tc>
        <w:tc>
          <w:tcPr>
            <w:tcW w:type="dxa" w:w="2438"/>
            <w:shd w:fill="0B3D3A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Exemplo</w:t>
            </w:r>
          </w:p>
        </w:tc>
      </w:tr>
      <w:tr>
        <w:tc>
          <w:tcPr>
            <w:tcW w:type="dxa" w:w="2400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7"/>
                <w:szCs w:val="17"/>
              </w:rPr>
              <w:t xml:space="preserve">Concessionário satélite</w:t>
            </w:r>
          </w:p>
        </w:tc>
        <w:tc>
          <w:tcPr>
            <w:tcW w:type="dxa" w:w="2400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Loja física no hub</w:t>
            </w:r>
          </w:p>
        </w:tc>
        <w:tc>
          <w:tcPr>
            <w:tcW w:type="dxa" w:w="2400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Locação fixa ou % faturamento</w:t>
            </w:r>
          </w:p>
        </w:tc>
        <w:tc>
          <w:tcPr>
            <w:tcW w:type="dxa" w:w="2438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Cafeteria, farmácia, fast-food</w:t>
            </w:r>
          </w:p>
        </w:tc>
      </w:tr>
      <w:tr>
        <w:tc>
          <w:tcPr>
            <w:tcW w:type="dxa" w:w="2400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7"/>
                <w:szCs w:val="17"/>
              </w:rPr>
              <w:t xml:space="preserve">Anunciante local/regional</w:t>
            </w:r>
          </w:p>
        </w:tc>
        <w:tc>
          <w:tcPr>
            <w:tcW w:type="dxa" w:w="2400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Mídia LED por hub/corredor</w:t>
            </w:r>
          </w:p>
        </w:tc>
        <w:tc>
          <w:tcPr>
            <w:tcW w:type="dxa" w:w="2400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Pacote mensal por praça</w:t>
            </w:r>
          </w:p>
        </w:tc>
        <w:tc>
          <w:tcPr>
            <w:tcW w:type="dxa" w:w="2438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Marca regional, evento</w:t>
            </w:r>
          </w:p>
        </w:tc>
      </w:tr>
      <w:tr>
        <w:tc>
          <w:tcPr>
            <w:tcW w:type="dxa" w:w="2400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320"/>
                <w:sz w:val="17"/>
                <w:szCs w:val="17"/>
              </w:rPr>
              <w:t xml:space="preserve">Anunciante de rede</w:t>
            </w:r>
          </w:p>
        </w:tc>
        <w:tc>
          <w:tcPr>
            <w:tcW w:type="dxa" w:w="2400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Mídia LED nos 84 hubs</w:t>
            </w:r>
          </w:p>
        </w:tc>
        <w:tc>
          <w:tcPr>
            <w:tcW w:type="dxa" w:w="2400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Pacote nacional</w:t>
            </w:r>
          </w:p>
        </w:tc>
        <w:tc>
          <w:tcPr>
            <w:tcW w:type="dxa" w:w="2438"/>
            <w:shd w:fill="F7F3E9" w:color="auto" w:val="clear"/>
            <w:tcMar>
              <w:top w:type="dxa" w:w="75"/>
              <w:left w:type="dxa" w:w="100"/>
              <w:bottom w:type="dxa" w:w="75"/>
              <w:right w:type="dxa" w:w="10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320"/>
                <w:sz w:val="17"/>
                <w:szCs w:val="17"/>
              </w:rPr>
              <w:t xml:space="preserve">Marca nacional, montadora</w:t>
            </w:r>
          </w:p>
        </w:tc>
      </w:tr>
    </w:tbl>
    <w:p>
      <w:pPr>
        <w:pBdr>
          <w:bottom w:val="single" w:color="FF6B57" w:sz="6" w:space="4"/>
        </w:pBdr>
        <w:spacing w:after="100" w:before="260"/>
      </w:pPr>
      <w:r>
        <w:rPr>
          <w:rFonts w:ascii="Georgia" w:cs="Georgia" w:eastAsia="Georgia" w:hAnsi="Georgia"/>
          <w:b/>
          <w:bCs/>
          <w:color w:val="0B3D3A"/>
          <w:sz w:val="25"/>
          <w:szCs w:val="25"/>
        </w:rPr>
        <w:t xml:space="preserve">Próximos passos</w:t>
      </w:r>
    </w:p>
    <w:p>
      <w:pPr>
        <w:spacing w:after="40"/>
      </w:pPr>
      <w:r>
        <w:rPr>
          <w:rFonts w:ascii="Calibri" w:cs="Calibri" w:eastAsia="Calibri" w:hAnsi="Calibri"/>
          <w:color w:val="142320"/>
          <w:sz w:val="20"/>
          <w:szCs w:val="20"/>
        </w:rPr>
        <w:t xml:space="preserve">Espaço de concessão disponível já no piloto de 10 hubs em 2026, e inventário de mídia reservável por praça ou por rede completa. contato@rotabr101.com.br</w:t>
      </w:r>
    </w:p>
    <w:sectPr>
      <w:pgSz w:w="11906" w:h="16838" w:orient="portrait"/>
      <w:pgMar w:top="720" w:right="850" w:bottom="72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260" w:hanging="200"/>
      </w:pPr>
      <w:rPr>
        <w:b/>
        <w:bCs/>
        <w:color w:val="1F8F7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2026-07-29T16:08:56.227Z</dcterms:created>
  <dcterms:modified xsi:type="dcterms:W3CDTF">2026-07-29T16:08:56.240Z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